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书名：宗主国倾向和本土意识  以维·苏·奈保尔及其作品分析为例</w:t>
      </w:r>
    </w:p>
    <w:p>
      <w:r>
        <w:t>作者：雷艳妮著</w:t>
      </w:r>
    </w:p>
    <w:p>
      <w:r>
        <w:t>出版社：重庆：重庆大学出版社</w:t>
      </w:r>
    </w:p>
    <w:p>
      <w:r>
        <w:t>出版日期：2010.12</w:t>
      </w:r>
    </w:p>
    <w:p>
      <w:r>
        <w:t>总页数：180</w:t>
      </w:r>
    </w:p>
    <w:p>
      <w:r>
        <w:t>更多请访问教客网: www.jiaokey.com</w:t>
      </w:r>
    </w:p>
    <w:p>
      <w:r>
        <w:t>宗主国倾向和本土意识  以维·苏·奈保尔及其作品分析为例 评论地址：https://www.jiaokey.com/book/detail/12807590.html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