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左传句解  卷3</w:t>
      </w:r>
    </w:p>
    <w:p>
      <w:r>
        <w:rPr>
          <w:rFonts w:ascii="宋体" w:hAnsi="宋体" w:eastAsia="宋体"/>
          <w:sz w:val="24"/>
        </w:rPr>
        <w:t>（宋）朱申注释；（明）孙矿批点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左传句解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（宋）朱申注释；（明）孙矿批点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本书出售、求购地址：https://www.jiaokey.com/book/detail/12829232.html</w:t>
      </w:r>
    </w:p>
    <w:p>
      <w:r>
        <w:t>更多相关图书推荐：https://www.jiaokey.com</w:t>
      </w:r>
    </w:p>
    <w:p>
      <w:r>
        <w:t>（宋）朱申注释；（明）孙矿批点 其他作品：https://www.jiaokey.com/tag/（宋）朱申注释；（明）孙矿批点.html</w:t>
      </w:r>
    </w:p>
    <w:p>
      <w:r>
        <w:t>长沙广益书局 出版图书：https://www.jiaokey.com/tag/长沙广益书局.html</w:t>
      </w:r>
    </w:p>
    <w:p>
      <w:r>
        <w:t>关键词搜索：https://www.jiaokey.com/tag/左传句解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