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重层现代性镜像：日治时代台湾传统文人的文化视域与文学想像</w:t>
      </w:r>
    </w:p>
    <w:p>
      <w:r>
        <w:rPr>
          <w:rFonts w:ascii="宋体" w:hAnsi="宋体" w:eastAsia="宋体"/>
          <w:sz w:val="24"/>
        </w:rPr>
        <w:t>黄美娥著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重层现代性镜像：日治时代台湾传统文人的文化视域与文学想像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本书出售、求购地址：https://www.jiaokey.com/book/detail/12831990.html</w:t>
      </w:r>
    </w:p>
    <w:p>
      <w:r>
        <w:t>更多相关图书推荐：https://www.jiaokey.com</w:t>
      </w:r>
    </w:p>
    <w:p>
      <w:r>
        <w:t>黄美娥著 其他作品：https://www.jiaokey.com/tag/黄美娥著.html</w:t>
      </w:r>
    </w:p>
    <w:p>
      <w:r>
        <w:t>麦田出版 出版图书：https://www.jiaokey.com/tag/麦田出版.html</w:t>
      </w:r>
    </w:p>
    <w:p>
      <w:r>
        <w:t>关键词搜索：https://www.jiaokey.com/tag/重层现代性镜像：日治时代台湾传统文人的文化视域与文学想像.html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