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现象学与汉语神学</w:t>
      </w:r>
    </w:p>
    <w:p>
      <w:r>
        <w:rPr>
          <w:rFonts w:ascii="宋体" w:hAnsi="宋体" w:eastAsia="宋体"/>
          <w:sz w:val="24"/>
        </w:rPr>
        <w:t>曾庆豹主编；汉语基督教文化研究所策划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现象学与汉语神学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曾庆豹主编；汉语基督教文化研究所策划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本书出售、求购地址：https://www.jiaokey.com/book/detail/12846902.html</w:t>
      </w:r>
    </w:p>
    <w:p>
      <w:r>
        <w:t>更多相关图书推荐：https://www.jiaokey.com</w:t>
      </w:r>
    </w:p>
    <w:p>
      <w:r>
        <w:t>曾庆豹主编；汉语基督教文化研究所策划 其他作品：https://www.jiaokey.com/tag/曾庆豹主编；汉语基督教文化研究所策划.html</w:t>
      </w:r>
    </w:p>
    <w:p>
      <w:r>
        <w:t>道风书社 出版图书：https://www.jiaokey.com/tag/道风书社.html</w:t>
      </w:r>
    </w:p>
    <w:p>
      <w:r>
        <w:t>关键词搜索：https://www.jiaokey.com/tag/现象学与汉语神学.html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