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RFID应用指南  面向用户的应用模式、标准、编码及软硬件选择</w:t>
      </w:r>
    </w:p>
    <w:p>
      <w:r>
        <w:rPr>
          <w:rFonts w:ascii="宋体" w:hAnsi="宋体" w:eastAsia="宋体"/>
          <w:sz w:val="24"/>
        </w:rPr>
        <w:t>程曦编著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RFID应用指南  面向用户的应用模式、标准、编码及软硬件选择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本书出售、求购地址：https://www.jiaokey.com/book/detail/12865656.html</w:t>
      </w:r>
    </w:p>
    <w:p>
      <w:r>
        <w:t>更多相关图书推荐：https://www.jiaokey.com</w:t>
      </w:r>
    </w:p>
    <w:p>
      <w:r>
        <w:t>程曦编著 其他作品：https://www.jiaokey.com/tag/程曦编著.html</w:t>
      </w:r>
    </w:p>
    <w:p>
      <w:r>
        <w:t>关键词搜索：https://www.jiaokey.com/tag/RFID应用指南  面向用户的应用模式、标准、编码及软硬件选择.html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