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企业品牌成长与整合战略研究  以贵州神奇集团为例</w:t>
      </w:r>
    </w:p>
    <w:p>
      <w:r>
        <w:rPr>
          <w:rFonts w:ascii="宋体" w:hAnsi="宋体" w:eastAsia="宋体"/>
          <w:sz w:val="24"/>
        </w:rPr>
        <w:t>陈劲松著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企业品牌成长与整合战略研究  以贵州神奇集团为例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本书出售、求购地址：https://www.jiaokey.com/book/detail/12897287.html</w:t>
      </w:r>
    </w:p>
    <w:p>
      <w:r>
        <w:t>更多相关图书推荐：https://www.jiaokey.com</w:t>
      </w:r>
    </w:p>
    <w:p>
      <w:r>
        <w:t>陈劲松著 其他作品：https://www.jiaokey.com/tag/陈劲松著.html</w:t>
      </w:r>
    </w:p>
    <w:p>
      <w:r>
        <w:t>关键词搜索：https://www.jiaokey.com/tag/企业品牌成长与整合战略研究  以贵州神奇集团为例.html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