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台日商大陆投资策略联盟  理论、实务与案例</w:t>
      </w:r>
    </w:p>
    <w:p>
      <w:r>
        <w:rPr>
          <w:rFonts w:ascii="宋体" w:hAnsi="宋体" w:eastAsia="宋体"/>
          <w:sz w:val="24"/>
        </w:rPr>
        <w:t>徐斯勤，陈德昇主编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台日商大陆投资策略联盟  理论、实务与案例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徐斯勤，陈德昇主编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INK印刻文学生活杂志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本书出售、求购地址：https://www.jiaokey.com/book/detail/12907150.html</w:t>
      </w:r>
    </w:p>
    <w:p>
      <w:r>
        <w:t>更多相关图书推荐：https://www.jiaokey.com</w:t>
      </w:r>
    </w:p>
    <w:p>
      <w:r>
        <w:t>徐斯勤，陈德昇主编 其他作品：https://www.jiaokey.com/tag/徐斯勤，陈德昇主编.html</w:t>
      </w:r>
    </w:p>
    <w:p>
      <w:r>
        <w:t>INK印刻文学生活杂志 出版图书：https://www.jiaokey.com/tag/INK印刻文学生活杂志.html</w:t>
      </w:r>
    </w:p>
    <w:p>
      <w:r>
        <w:t>关键词搜索：https://www.jiaokey.com/tag/台日商大陆投资策略联盟  理论、实务与案例.html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