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新闻特写与分析新闻稿件  一  二  三  的写作模式</w:t>
      </w:r>
    </w:p>
    <w:p>
      <w:r>
        <w:rPr>
          <w:rFonts w:ascii="宋体" w:hAnsi="宋体" w:eastAsia="宋体"/>
          <w:sz w:val="24"/>
        </w:rPr>
        <w:t>漆敬尧著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新闻特写与分析新闻稿件  一  二  三  的写作模式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漆敬尧著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本书出售、求购地址：https://www.jiaokey.com/book/detail/12909022.html</w:t>
      </w:r>
    </w:p>
    <w:p>
      <w:r>
        <w:t>更多相关图书推荐：https://www.jiaokey.com</w:t>
      </w:r>
    </w:p>
    <w:p>
      <w:r>
        <w:t>漆敬尧著 其他作品：https://www.jiaokey.com/tag/漆敬尧著.html</w:t>
      </w:r>
    </w:p>
    <w:p>
      <w:r>
        <w:t>正中书局 出版图书：https://www.jiaokey.com/tag/正中书局.html</w:t>
      </w:r>
    </w:p>
    <w:p>
      <w:r>
        <w:t>关键词搜索：https://www.jiaokey.com/tag/新闻特写与分析新闻稿件  一  二  三  的写作模式.html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