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布尔什维克鼓动的基本特点</w:t>
      </w:r>
    </w:p>
    <w:p>
      <w:r>
        <w:rPr>
          <w:rFonts w:ascii="宋体" w:hAnsi="宋体" w:eastAsia="宋体"/>
          <w:sz w:val="24"/>
        </w:rPr>
        <w:t>卡拉什尼可夫著；晓琉译；洪涛校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布尔什维克鼓动的基本特点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卡拉什尼可夫著；晓琉译；洪涛校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本书出售、求购地址：https://www.jiaokey.com/book/detail/12911151.html</w:t>
      </w:r>
    </w:p>
    <w:p>
      <w:r>
        <w:t>更多相关图书推荐：https://www.jiaokey.com</w:t>
      </w:r>
    </w:p>
    <w:p>
      <w:r>
        <w:t>卡拉什尼可夫著；晓琉译；洪涛校 其他作品：https://www.jiaokey.com/tag/卡拉什尼可夫著；晓琉译；洪涛校.html</w:t>
      </w:r>
    </w:p>
    <w:p>
      <w:r>
        <w:t>大连新华书店 出版图书：https://www.jiaokey.com/tag/大连新华书店.html</w:t>
      </w:r>
    </w:p>
    <w:p>
      <w:r>
        <w:t>关键词搜索：https://www.jiaokey.com/tag/布尔什维克鼓动的基本特点.html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