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《经典释文》異读之音义规律探赜  以帮组和来母字为例</w:t>
      </w:r>
    </w:p>
    <w:p>
      <w:r>
        <w:rPr>
          <w:rFonts w:ascii="宋体" w:hAnsi="宋体" w:eastAsia="宋体"/>
          <w:sz w:val="24"/>
        </w:rPr>
        <w:t>王月婷著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《经典释文》異读之音义规律探赜  以帮组和来母字为例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本书出售、求购地址：https://www.jiaokey.com/book/detail/12918858.html</w:t>
      </w:r>
    </w:p>
    <w:p>
      <w:r>
        <w:t>更多相关图书推荐：https://www.jiaokey.com</w:t>
      </w:r>
    </w:p>
    <w:p>
      <w:r>
        <w:t>王月婷著 其他作品：https://www.jiaokey.com/tag/王月婷著.html</w:t>
      </w:r>
    </w:p>
    <w:p>
      <w:r>
        <w:t>北京：中华书局 出版图书：https://www.jiaokey.com/tag/北京：中华书局.html</w:t>
      </w:r>
    </w:p>
    <w:p>
      <w:r>
        <w:t>关键词搜索：https://www.jiaokey.com/tag/《经典释文》異读之音义规律探赜  以帮组和来母字为例.html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