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结构型商品理论与实务  2010年9月增修订2版</w:t>
      </w:r>
    </w:p>
    <w:p>
      <w:r>
        <w:rPr>
          <w:rFonts w:ascii="宋体" w:hAnsi="宋体" w:eastAsia="宋体"/>
          <w:sz w:val="24"/>
        </w:rPr>
        <w:t>财团法人台湾金融研训院编辑委员会编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结构型商品理论与实务  2010年9月增修订2版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财团法人台湾金融研训院编辑委员会编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台湾金融研训院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本书出售、求购地址：https://www.jiaokey.com/book/detail/12922641.html</w:t>
      </w:r>
    </w:p>
    <w:p>
      <w:r>
        <w:t>更多相关图书推荐：https://www.jiaokey.com</w:t>
      </w:r>
    </w:p>
    <w:p>
      <w:r>
        <w:t>财团法人台湾金融研训院编辑委员会编 其他作品：https://www.jiaokey.com/tag/财团法人台湾金融研训院编辑委员会编.html</w:t>
      </w:r>
    </w:p>
    <w:p>
      <w:r>
        <w:t>台湾金融研训院 出版图书：https://www.jiaokey.com/tag/台湾金融研训院.html</w:t>
      </w:r>
    </w:p>
    <w:p>
      <w:r>
        <w:t>关键词搜索：https://www.jiaokey.com/tag/结构型商品理论与实务  2010年9月增修订2版.html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