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中小学生创伤后应激障碍识别、评估和治疗</w:t>
      </w:r>
    </w:p>
    <w:p>
      <w:r>
        <w:rPr>
          <w:rFonts w:ascii="宋体" w:hAnsi="宋体" w:eastAsia="宋体"/>
          <w:sz w:val="24"/>
        </w:rPr>
        <w:t>（美）尼克森，里夫斯，布罗克著；贺婷婷，徐慊译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中小学生创伤后应激障碍识别、评估和治疗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（美）尼克森，里夫斯，布罗克著；贺婷婷，徐慊译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本书出售、求购地址：https://www.jiaokey.com/book/detail/12927152.html</w:t>
      </w:r>
    </w:p>
    <w:p>
      <w:r>
        <w:t>更多相关图书推荐：https://www.jiaokey.com</w:t>
      </w:r>
    </w:p>
    <w:p>
      <w:r>
        <w:t>（美）尼克森，里夫斯，布罗克著；贺婷婷，徐慊译 其他作品：https://www.jiaokey.com/tag/（美）尼克森，里夫斯，布罗克著；贺婷婷，徐慊译.html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关键词搜索：https://www.jiaokey.com/tag/中小学生创伤后应激障碍识别、评估和治疗.html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