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实际应用的道路设计计算实例</w:t>
      </w:r>
    </w:p>
    <w:p>
      <w:r>
        <w:rPr>
          <w:rFonts w:ascii="宋体" w:hAnsi="宋体" w:eastAsia="宋体"/>
          <w:sz w:val="24"/>
        </w:rPr>
        <w:t>土木施工设计计算例委员会编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实际应用的道路设计计算实例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土木施工设计计算例委员会编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《林业科技情报》编辑部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本书出售、求购地址：https://www.jiaokey.com/book/detail/12934294.html</w:t>
      </w:r>
    </w:p>
    <w:p>
      <w:r>
        <w:t>更多相关图书推荐：https://www.jiaokey.com</w:t>
      </w:r>
    </w:p>
    <w:p>
      <w:r>
        <w:t>土木施工设计计算例委员会编 其他作品：https://www.jiaokey.com/tag/土木施工设计计算例委员会编.html</w:t>
      </w:r>
    </w:p>
    <w:p>
      <w:r>
        <w:t>《林业科技情报》编辑部 出版图书：https://www.jiaokey.com/tag/《林业科技情报》编辑部.html</w:t>
      </w:r>
    </w:p>
    <w:p>
      <w:r>
        <w:t>关键词搜索：https://www.jiaokey.com/tag/实际应用的道路设计计算实例.html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