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就业歧视法律维权手册  以“乙肝歧视”为例  第3版</w:t>
      </w:r>
    </w:p>
    <w:p>
      <w:r>
        <w:rPr>
          <w:rFonts w:ascii="宋体" w:hAnsi="宋体" w:eastAsia="宋体"/>
          <w:sz w:val="24"/>
        </w:rPr>
        <w:t>北京益仕平中心，公民健康状况与受教育权工作组编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就业歧视法律维权手册  以“乙肝歧视”为例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北京益仕平中心，公民健康状况与受教育权工作组编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本书出售、求购地址：https://www.jiaokey.com/book/detail/12935902.html</w:t>
      </w:r>
    </w:p>
    <w:p>
      <w:r>
        <w:t>更多相关图书推荐：https://www.jiaokey.com</w:t>
      </w:r>
    </w:p>
    <w:p>
      <w:r>
        <w:t>北京益仕平中心，公民健康状况与受教育权工作组编 其他作品：https://www.jiaokey.com/tag/北京益仕平中心，公民健康状况与受教育权工作组编.html</w:t>
      </w:r>
    </w:p>
    <w:p>
      <w:r>
        <w:t>关键词搜索：https://www.jiaokey.com/tag/就业歧视法律维权手册  以“乙肝歧视”为例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