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  下泛珠三角与香港研究系列  7  四川与香港</w:t>
      </w:r>
    </w:p>
    <w:p>
      <w:r>
        <w:rPr>
          <w:rFonts w:ascii="宋体" w:hAnsi="宋体" w:eastAsia="宋体"/>
          <w:sz w:val="24"/>
        </w:rPr>
        <w:t>沈建法，杨汝万，卢一飞著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  下泛珠三角与香港研究系列  7  四川与香港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沈建法，杨汝万，卢一飞著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本书出售、求购地址：https://www.jiaokey.com/book/detail/12938101.html</w:t>
      </w:r>
    </w:p>
    <w:p>
      <w:r>
        <w:t>更多相关图书推荐：https://www.jiaokey.com</w:t>
      </w:r>
    </w:p>
    <w:p>
      <w:r>
        <w:t>沈建法，杨汝万，卢一飞著 其他作品：https://www.jiaokey.com/tag/沈建法，杨汝万，卢一飞著.html</w:t>
      </w:r>
    </w:p>
    <w:p>
      <w:r>
        <w:t>香港中文大学；香港亚太研究所 出版图书：https://www.jiaokey.com/tag/香港中文大学；香港亚太研究所.html</w:t>
      </w:r>
    </w:p>
    <w:p>
      <w:r>
        <w:t>关键词搜索：https://www.jiaokey.com/tag/十一五  下泛珠三角与香港研究系列  7  四川与香港.html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