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中小企业的经营计划之制作与实例  修订3版</w:t>
      </w:r>
    </w:p>
    <w:p>
      <w:r>
        <w:rPr>
          <w:rFonts w:ascii="宋体" w:hAnsi="宋体" w:eastAsia="宋体"/>
          <w:sz w:val="24"/>
        </w:rPr>
        <w:t>竹山正宪著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中小企业的经营计划之制作与实例  修订3版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竹山正宪著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文冈图书公司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本书出售、求购地址：https://www.jiaokey.com/book/detail/12942160.html</w:t>
      </w:r>
    </w:p>
    <w:p>
      <w:r>
        <w:t>更多相关图书推荐：https://www.jiaokey.com</w:t>
      </w:r>
    </w:p>
    <w:p>
      <w:r>
        <w:t>竹山正宪著 其他作品：https://www.jiaokey.com/tag/竹山正宪著.html</w:t>
      </w:r>
    </w:p>
    <w:p>
      <w:r>
        <w:t>文冈图书公司 出版图书：https://www.jiaokey.com/tag/文冈图书公司.html</w:t>
      </w:r>
    </w:p>
    <w:p>
      <w:r>
        <w:t>关键词搜索：https://www.jiaokey.com/tag/中小企业的经营计划之制作与实例  修订3版.html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