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游戏的关键期</w:t>
      </w:r>
    </w:p>
    <w:p>
      <w:r>
        <w:rPr>
          <w:rFonts w:ascii="宋体" w:hAnsi="宋体" w:eastAsia="宋体"/>
          <w:sz w:val="24"/>
        </w:rPr>
        <w:t>（英）曼尼·莫顿，（英）托尔普著；刘峰峰，常娟，赵志敏译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游戏的关键期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（英）曼尼·莫顿，（英）托尔普著；刘峰峰，常娟，赵志敏译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本书出售、求购地址：https://www.jiaokey.com/book/detail/12948898.html</w:t>
      </w:r>
    </w:p>
    <w:p>
      <w:r>
        <w:t>更多相关图书推荐：https://www.jiaokey.com</w:t>
      </w:r>
    </w:p>
    <w:p>
      <w:r>
        <w:t>（英）曼尼·莫顿，（英）托尔普著；刘峰峰，常娟，赵志敏译 其他作品：https://www.jiaokey.com/tag/（英）曼尼·莫顿，（英）托尔普著；刘峰峰，常娟，赵志敏译.html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关键词搜索：https://www.jiaokey.com/tag/游戏的关键期.html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