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从稳定楼市措施看房屋政策的锐变</w:t>
      </w:r>
    </w:p>
    <w:p>
      <w:r>
        <w:rPr>
          <w:rFonts w:ascii="宋体" w:hAnsi="宋体" w:eastAsia="宋体"/>
          <w:sz w:val="24"/>
        </w:rPr>
        <w:t>杨汝万编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从稳定楼市措施看房屋政策的锐变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本书出售、求购地址：https://www.jiaokey.com/book/detail/12949648.html</w:t>
      </w:r>
    </w:p>
    <w:p>
      <w:r>
        <w:t>更多相关图书推荐：https://www.jiaokey.com</w:t>
      </w:r>
    </w:p>
    <w:p>
      <w:r>
        <w:t>杨汝万编 其他作品：https://www.jiaokey.com/tag/杨汝万编.html</w:t>
      </w:r>
    </w:p>
    <w:p>
      <w:r>
        <w:t>香港中文大学出版社；香港亚太研究所 出版图书：https://www.jiaokey.com/tag/香港中文大学出版社；香港亚太研究所.html</w:t>
      </w:r>
    </w:p>
    <w:p>
      <w:r>
        <w:t>关键词搜索：https://www.jiaokey.com/tag/从稳定楼市措施看房屋政策的锐变.html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