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双龙吐艳  从城市本位道区域带动竞争的上海与香港</w:t>
      </w:r>
    </w:p>
    <w:p>
      <w:r>
        <w:rPr>
          <w:rFonts w:ascii="宋体" w:hAnsi="宋体" w:eastAsia="宋体"/>
          <w:sz w:val="24"/>
        </w:rPr>
        <w:t>杨汝万著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双龙吐艳  从城市本位道区域带动竞争的上海与香港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本书出售、求购地址：https://www.jiaokey.com/book/detail/12949650.html</w:t>
      </w:r>
    </w:p>
    <w:p>
      <w:r>
        <w:t>更多相关图书推荐：https://www.jiaokey.com</w:t>
      </w:r>
    </w:p>
    <w:p>
      <w:r>
        <w:t>杨汝万著 其他作品：https://www.jiaokey.com/tag/杨汝万著.html</w:t>
      </w:r>
    </w:p>
    <w:p>
      <w:r>
        <w:t>香港亚太研究所 出版图书：https://www.jiaokey.com/tag/香港亚太研究所.html</w:t>
      </w:r>
    </w:p>
    <w:p>
      <w:r>
        <w:t>关键词搜索：https://www.jiaokey.com/tag/双龙吐艳  从城市本位道区域带动竞争的上海与香港.html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