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感应电动车运行方式</w:t>
      </w:r>
    </w:p>
    <w:p>
      <w:r>
        <w:rPr>
          <w:rFonts w:ascii="宋体" w:hAnsi="宋体" w:eastAsia="宋体"/>
          <w:sz w:val="24"/>
        </w:rPr>
        <w:t>（苏联）伊·阿·赛罗米亚特尼科夫著；范懋源译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感应电动车运行方式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（苏联）伊·阿·赛罗米亚特尼科夫著；范懋源译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本书出售、求购地址：https://www.jiaokey.com/book/detail/12950783.html</w:t>
      </w:r>
    </w:p>
    <w:p>
      <w:r>
        <w:t>更多相关图书推荐：https://www.jiaokey.com</w:t>
      </w:r>
    </w:p>
    <w:p>
      <w:r>
        <w:t>（苏联）伊·阿·赛罗米亚特尼科夫著；范懋源译 其他作品：https://www.jiaokey.com/tag/（苏联）伊·阿·赛罗米亚特尼科夫著；范懋源译.html</w:t>
      </w:r>
    </w:p>
    <w:p>
      <w:r>
        <w:t>燃料工业出版社 出版图书：https://www.jiaokey.com/tag/燃料工业出版社.html</w:t>
      </w:r>
    </w:p>
    <w:p>
      <w:r>
        <w:t>关键词搜索：https://www.jiaokey.com/tag/感应电动车运行方式.html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