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内置CFRP圆管的方钢管高强混凝土结构的静力性能</w:t>
      </w:r>
    </w:p>
    <w:p>
      <w:r>
        <w:rPr>
          <w:rFonts w:ascii="宋体" w:hAnsi="宋体" w:eastAsia="宋体"/>
          <w:sz w:val="24"/>
        </w:rPr>
        <w:t>李帼昌，张壮南，王春刚著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内置CFRP圆管的方钢管高强混凝土结构的静力性能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李帼昌，张壮南，王春刚著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本书出售、求购地址：https://www.jiaokey.com/book/detail/12965414.html</w:t>
      </w:r>
    </w:p>
    <w:p>
      <w:r>
        <w:t>更多相关图书推荐：https://www.jiaokey.com</w:t>
      </w:r>
    </w:p>
    <w:p>
      <w:r>
        <w:t>李帼昌，张壮南，王春刚著 其他作品：https://www.jiaokey.com/tag/李帼昌，张壮南，王春刚著.html</w:t>
      </w:r>
    </w:p>
    <w:p>
      <w:r>
        <w:t>科学出版社 出版图书：https://www.jiaokey.com/tag/科学出版社.html</w:t>
      </w:r>
    </w:p>
    <w:p>
      <w:r>
        <w:t>关键词搜索：https://www.jiaokey.com/tag/内置CFRP圆管的方钢管高强混凝土结构的静力性能.html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