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民法丛书  债法原理  基本原理  债之发生、契约、无因管理</w:t>
      </w:r>
    </w:p>
    <w:p>
      <w:r>
        <w:rPr>
          <w:rFonts w:ascii="宋体" w:hAnsi="宋体" w:eastAsia="宋体"/>
          <w:sz w:val="24"/>
        </w:rPr>
        <w:t>王泽鑑著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民法丛书  债法原理  基本原理  债之发生、契约、无因管理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本书出售、求购地址：https://www.jiaokey.com/book/detail/12970265.html</w:t>
      </w:r>
    </w:p>
    <w:p>
      <w:r>
        <w:t>更多相关图书推荐：https://www.jiaokey.com</w:t>
      </w:r>
    </w:p>
    <w:p>
      <w:r>
        <w:t>王泽鑑著 其他作品：https://www.jiaokey.com/tag/王泽鑑著.html</w:t>
      </w:r>
    </w:p>
    <w:p>
      <w:r>
        <w:t>关键词搜索：https://www.jiaokey.com/tag/民法丛书  债法原理  基本原理  债之发生、契约、无因管理.html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