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古玩指南  第2辑  1  玉器拍卖投资指南</w:t>
      </w:r>
    </w:p>
    <w:p>
      <w:r>
        <w:rPr>
          <w:rFonts w:ascii="宋体" w:hAnsi="宋体" w:eastAsia="宋体"/>
          <w:sz w:val="24"/>
        </w:rPr>
        <w:t>（民国）赵汝珍原著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古玩指南  第2辑  1  玉器拍卖投资指南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（民国）赵汝珍原著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本书出售、求购地址：https://www.jiaokey.com/book/detail/12979583.html</w:t>
      </w:r>
    </w:p>
    <w:p>
      <w:r>
        <w:t>更多相关图书推荐：https://www.jiaokey.com</w:t>
      </w:r>
    </w:p>
    <w:p>
      <w:r>
        <w:t>（民国）赵汝珍原著 其他作品：https://www.jiaokey.com/tag/（民国）赵汝珍原著.html</w:t>
      </w:r>
    </w:p>
    <w:p>
      <w:r>
        <w:t>陕西人民美术出版社 出版图书：https://www.jiaokey.com/tag/陕西人民美术出版社.html</w:t>
      </w:r>
    </w:p>
    <w:p>
      <w:r>
        <w:t>关键词搜索：https://www.jiaokey.com/tag/古玩指南  第2辑  1  玉器拍卖投资指南.html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