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德国的分合  两德接近政策的形成与实践</w:t>
      </w:r>
    </w:p>
    <w:p>
      <w:r>
        <w:rPr>
          <w:rFonts w:ascii="宋体" w:hAnsi="宋体" w:eastAsia="宋体"/>
          <w:sz w:val="24"/>
        </w:rPr>
        <w:t>陈廷辉著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德国的分合  两德接近政策的形成与实践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开拓出版有限公司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本书出售、求购地址：https://www.jiaokey.com/book/detail/13005486.html</w:t>
      </w:r>
    </w:p>
    <w:p>
      <w:r>
        <w:t>更多相关图书推荐：https://www.jiaokey.com</w:t>
      </w:r>
    </w:p>
    <w:p>
      <w:r>
        <w:t>陈廷辉著 其他作品：https://www.jiaokey.com/tag/陈廷辉著.html</w:t>
      </w:r>
    </w:p>
    <w:p>
      <w:r>
        <w:t>开拓出版有限公司 出版图书：https://www.jiaokey.com/tag/开拓出版有限公司.html</w:t>
      </w:r>
    </w:p>
    <w:p>
      <w:r>
        <w:t>关键词搜索：https://www.jiaokey.com/tag/德国的分合  两德接近政策的形成与实践.html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