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道德意识现象学  情感道德篇</w:t>
      </w:r>
    </w:p>
    <w:p>
      <w:r>
        <w:rPr>
          <w:rFonts w:ascii="宋体" w:hAnsi="宋体" w:eastAsia="宋体"/>
          <w:sz w:val="24"/>
        </w:rPr>
        <w:t>（德）爱德华·封·哈特曼著；简-克劳德·沃尔夫编辑并撰引论；倪梁康译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道德意识现象学  情感道德篇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（德）爱德华·封·哈特曼著；简-克劳德·沃尔夫编辑并撰引论；倪梁康译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本书出售、求购地址：https://www.jiaokey.com/book/detail/13009338.html</w:t>
      </w:r>
    </w:p>
    <w:p>
      <w:r>
        <w:t>更多相关图书推荐：https://www.jiaokey.com</w:t>
      </w:r>
    </w:p>
    <w:p>
      <w:r>
        <w:t>（德）爱德华·封·哈特曼著；简-克劳德·沃尔夫编辑并撰引论；倪梁康译 其他作品：https://www.jiaokey.com/tag/（德）爱德华·封·哈特曼著；简-克劳德·沃尔夫编辑并撰引论；倪梁康译.html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关键词搜索：https://www.jiaokey.com/tag/道德意识现象学  情感道德篇.html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