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伤寒论讲义</w:t>
      </w:r>
    </w:p>
    <w:p>
      <w:r>
        <w:rPr>
          <w:rFonts w:ascii="宋体" w:hAnsi="宋体" w:eastAsia="宋体"/>
          <w:sz w:val="24"/>
        </w:rPr>
        <w:t>沈济苍，柯雪帆讲授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沈济苍，柯雪帆讲授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上海市中医文献馆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本书出售、求购地址：https://www.jiaokey.com/book/detail/13024326.html</w:t>
      </w:r>
    </w:p>
    <w:p>
      <w:r>
        <w:t>更多相关图书推荐：https://www.jiaokey.com</w:t>
      </w:r>
    </w:p>
    <w:p>
      <w:r>
        <w:t>沈济苍，柯雪帆讲授 其他作品：https://www.jiaokey.com/tag/沈济苍，柯雪帆讲授.html</w:t>
      </w:r>
    </w:p>
    <w:p>
      <w:r>
        <w:t>上海市中医文献馆 出版图书：https://www.jiaokey.com/tag/上海市中医文献馆.html</w:t>
      </w:r>
    </w:p>
    <w:p>
      <w:r>
        <w:t>关键词搜索：https://www.jiaokey.com/tag/伤寒论讲义.html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