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深覆盖层面板坝设计及坝基处理措施</w:t>
      </w:r>
    </w:p>
    <w:p>
      <w:r>
        <w:rPr>
          <w:rFonts w:ascii="宋体" w:hAnsi="宋体" w:eastAsia="宋体"/>
          <w:sz w:val="24"/>
        </w:rPr>
        <w:t>姜苏阳，郭其峰，李远程，邢建营等著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深覆盖层面板坝设计及坝基处理措施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姜苏阳，郭其峰，李远程，邢建营等著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本书出售、求购地址：https://www.jiaokey.com/book/detail/13024472.html</w:t>
      </w:r>
    </w:p>
    <w:p>
      <w:r>
        <w:t>更多相关图书推荐：https://www.jiaokey.com</w:t>
      </w:r>
    </w:p>
    <w:p>
      <w:r>
        <w:t>姜苏阳，郭其峰，李远程，邢建营等著 其他作品：https://www.jiaokey.com/tag/姜苏阳，郭其峰，李远程，邢建营等著.html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关键词搜索：https://www.jiaokey.com/tag/深覆盖层面板坝设计及坝基处理措施.html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