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现代经济法原理</w:t>
      </w:r>
    </w:p>
    <w:p>
      <w:r>
        <w:rPr>
          <w:rFonts w:ascii="宋体" w:hAnsi="宋体" w:eastAsia="宋体"/>
          <w:sz w:val="24"/>
        </w:rPr>
        <w:t>田应华，文诚公，欧阳琳主编；黎黎，颜静，袁鹏副主编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田应华，文诚公，欧阳琳主编；黎黎，颜静，袁鹏副主编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本书出售、求购地址：https://www.jiaokey.com/book/detail/13054553.html</w:t>
      </w:r>
    </w:p>
    <w:p>
      <w:r>
        <w:t>更多相关图书推荐：https://www.jiaokey.com</w:t>
      </w:r>
    </w:p>
    <w:p>
      <w:r>
        <w:t>田应华，文诚公，欧阳琳主编；黎黎，颜静，袁鹏副主编 其他作品：https://www.jiaokey.com/tag/田应华，文诚公，欧阳琳主编；黎黎，颜静，袁鹏副主编.html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关键词搜索：https://www.jiaokey.com/tag/现代经济法原理.html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