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浙江区域金融中心发展报告  2011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浙江区域金融中心发展报告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本书出售、求购地址：https://www.jiaokey.com/book/detail/13062034.html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关键词搜索：https://www.jiaokey.com/tag/浙江区域金融中心发展报告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