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跨国公司行为规制  印度的实践与启示</w:t>
      </w:r>
    </w:p>
    <w:p>
      <w:r>
        <w:rPr>
          <w:rFonts w:ascii="宋体" w:hAnsi="宋体" w:eastAsia="宋体"/>
          <w:sz w:val="24"/>
        </w:rPr>
        <w:t>戴永红编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跨国公司行为规制  印度的实践与启示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本书出售、求购地址：https://www.jiaokey.com/book/detail/13086335.html</w:t>
      </w:r>
    </w:p>
    <w:p>
      <w:r>
        <w:t>更多相关图书推荐：https://www.jiaokey.com</w:t>
      </w:r>
    </w:p>
    <w:p>
      <w:r>
        <w:t>戴永红编 其他作品：https://www.jiaokey.com/tag/戴永红编.html</w:t>
      </w:r>
    </w:p>
    <w:p>
      <w:r>
        <w:t>成都：巴蜀书社 出版图书：https://www.jiaokey.com/tag/成都：巴蜀书社.html</w:t>
      </w:r>
    </w:p>
    <w:p>
      <w:r>
        <w:t>关键词搜索：https://www.jiaokey.com/tag/跨国公司行为规制  印度的实践与启示.html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