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燕乐新说  唐宋宫廷燕乐与词曲音乐研究</w:t>
      </w:r>
    </w:p>
    <w:p>
      <w:r>
        <w:rPr>
          <w:rFonts w:ascii="宋体" w:hAnsi="宋体" w:eastAsia="宋体"/>
          <w:sz w:val="24"/>
        </w:rPr>
        <w:t>刘崇德著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燕乐新说  唐宋宫廷燕乐与词曲音乐研究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刘崇德著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本书出售、求购地址：https://www.jiaokey.com/book/detail/13086720.html</w:t>
      </w:r>
    </w:p>
    <w:p>
      <w:r>
        <w:t>更多相关图书推荐：https://www.jiaokey.com</w:t>
      </w:r>
    </w:p>
    <w:p>
      <w:r>
        <w:t>刘崇德著 其他作品：https://www.jiaokey.com/tag/刘崇德著.html</w:t>
      </w:r>
    </w:p>
    <w:p>
      <w:r>
        <w:t>合肥：黄山书社 出版图书：https://www.jiaokey.com/tag/合肥：黄山书社.html</w:t>
      </w:r>
    </w:p>
    <w:p>
      <w:r>
        <w:t>关键词搜索：https://www.jiaokey.com/tag/燕乐新说  唐宋宫廷燕乐与词曲音乐研究.html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