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需要、欲望和自我：唯物论和辩证观的需要理论</w:t>
      </w:r>
    </w:p>
    <w:p>
      <w:r>
        <w:rPr>
          <w:rFonts w:ascii="宋体" w:hAnsi="宋体" w:eastAsia="宋体"/>
          <w:sz w:val="24"/>
        </w:rPr>
        <w:t>张檀琴，李敏著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需要、欲望和自我：唯物论和辩证观的需要理论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张檀琴，李敏著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本书出售、求购地址：https://www.jiaokey.com/book/detail/13100682.html</w:t>
      </w:r>
    </w:p>
    <w:p>
      <w:r>
        <w:t>更多相关图书推荐：https://www.jiaokey.com</w:t>
      </w:r>
    </w:p>
    <w:p>
      <w:r>
        <w:t>张檀琴，李敏著 其他作品：https://www.jiaokey.com/tag/张檀琴，李敏著.html</w:t>
      </w:r>
    </w:p>
    <w:p>
      <w:r>
        <w:t>经济科学出版社 出版图书：https://www.jiaokey.com/tag/经济科学出版社.html</w:t>
      </w:r>
    </w:p>
    <w:p>
      <w:r>
        <w:t>关键词搜索：https://www.jiaokey.com/tag/需要、欲望和自我：唯物论和辩证观的需要理论.html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