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基本国策教程</w:t>
      </w:r>
    </w:p>
    <w:p>
      <w:r>
        <w:rPr>
          <w:rFonts w:ascii="宋体" w:hAnsi="宋体" w:eastAsia="宋体"/>
          <w:sz w:val="24"/>
        </w:rPr>
        <w:t>潘宗白主编；冷祥初，陶溶副主编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潘宗白主编；冷祥初，陶溶副主编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中共江苏省委党校干部函授学院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本书出售、求购地址：https://www.jiaokey.com/book/detail/13116995.html</w:t>
      </w:r>
    </w:p>
    <w:p>
      <w:r>
        <w:t>更多相关图书推荐：https://www.jiaokey.com</w:t>
      </w:r>
    </w:p>
    <w:p>
      <w:r>
        <w:t>潘宗白主编；冷祥初，陶溶副主编 其他作品：https://www.jiaokey.com/tag/潘宗白主编；冷祥初，陶溶副主编.html</w:t>
      </w:r>
    </w:p>
    <w:p>
      <w:r>
        <w:t>中共江苏省委党校干部函授学院 出版图书：https://www.jiaokey.com/tag/中共江苏省委党校干部函授学院.html</w:t>
      </w:r>
    </w:p>
    <w:p>
      <w:r>
        <w:t>关键词搜索：https://www.jiaokey.com/tag/基本国策教程.html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