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电力监管条例释义</w:t>
      </w:r>
    </w:p>
    <w:p>
      <w:r>
        <w:rPr>
          <w:rFonts w:ascii="宋体" w:hAnsi="宋体" w:eastAsia="宋体"/>
          <w:sz w:val="24"/>
        </w:rPr>
        <w:t>李安主编；李安，孟伟，房绪兴，苏明月，高巍菁，邢晓苏编写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电力监管条例释义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李安主编；李安，孟伟，房绪兴，苏明月，高巍菁，邢晓苏编写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本书出售、求购地址：https://www.jiaokey.com/book/detail/13129409.html</w:t>
      </w:r>
    </w:p>
    <w:p>
      <w:r>
        <w:t>更多相关图书推荐：https://www.jiaokey.com</w:t>
      </w:r>
    </w:p>
    <w:p>
      <w:r>
        <w:t>李安主编；李安，孟伟，房绪兴，苏明月，高巍菁，邢晓苏编写 其他作品：https://www.jiaokey.com/tag/李安主编；李安，孟伟，房绪兴，苏明月，高巍菁，邢晓苏编写.html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关键词搜索：https://www.jiaokey.com/tag/电力监管条例释义.html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