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论德国民族性</w:t>
      </w:r>
    </w:p>
    <w:p>
      <w:r>
        <w:rPr>
          <w:rFonts w:ascii="宋体" w:hAnsi="宋体" w:eastAsia="宋体"/>
          <w:sz w:val="24"/>
        </w:rPr>
        <w:t>（德）维廉·亨利·黎耳著；杨丙辰译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论德国民族性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（德）维廉·亨利·黎耳著；杨丙辰译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本书出售、求购地址：https://www.jiaokey.com/book/detail/13154993.html</w:t>
      </w:r>
    </w:p>
    <w:p>
      <w:r>
        <w:t>更多相关图书推荐：https://www.jiaokey.com</w:t>
      </w:r>
    </w:p>
    <w:p>
      <w:r>
        <w:t>（德）维廉·亨利·黎耳著；杨丙辰译 其他作品：https://www.jiaokey.com/tag/（德）维廉·亨利·黎耳著；杨丙辰译.html</w:t>
      </w:r>
    </w:p>
    <w:p>
      <w:r>
        <w:t>关键词搜索：https://www.jiaokey.com/tag/论德国民族性.html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