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风与草  《尚书》  孔子以来历代核心教科书之现代解读</w:t>
      </w:r>
    </w:p>
    <w:p>
      <w:r>
        <w:rPr>
          <w:rFonts w:ascii="宋体" w:hAnsi="宋体" w:eastAsia="宋体"/>
          <w:sz w:val="24"/>
        </w:rPr>
        <w:t>喻中著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风与草  《尚书》  孔子以来历代核心教科书之现代解读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本书出售、求购地址：https://www.jiaokey.com/book/detail/13164698.html</w:t>
      </w:r>
    </w:p>
    <w:p>
      <w:r>
        <w:t>更多相关图书推荐：https://www.jiaokey.com</w:t>
      </w:r>
    </w:p>
    <w:p>
      <w:r>
        <w:t>喻中著 其他作品：https://www.jiaokey.com/tag/喻中著.html</w:t>
      </w:r>
    </w:p>
    <w:p>
      <w:r>
        <w:t>香港中和出版有限公司 出版图书：https://www.jiaokey.com/tag/香港中和出版有限公司.html</w:t>
      </w:r>
    </w:p>
    <w:p>
      <w:r>
        <w:t>关键词搜索：https://www.jiaokey.com/tag/风与草  《尚书》  孔子以来历代核心教科书之现代解读.html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