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中华民国新刑律总则讲义</w:t>
      </w:r>
    </w:p>
    <w:p>
      <w:r>
        <w:rPr>
          <w:rFonts w:ascii="宋体" w:hAnsi="宋体" w:eastAsia="宋体"/>
          <w:sz w:val="24"/>
        </w:rPr>
        <w:t>（日）冈田朝太郎编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中华民国新刑律总则讲义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（日）冈田朝太郎编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本书出售、求购地址：https://www.jiaokey.com/book/detail/13166269.html</w:t>
      </w:r>
    </w:p>
    <w:p>
      <w:r>
        <w:t>更多相关图书推荐：https://www.jiaokey.com</w:t>
      </w:r>
    </w:p>
    <w:p>
      <w:r>
        <w:t>（日）冈田朝太郎编 其他作品：https://www.jiaokey.com/tag/（日）冈田朝太郎编.html</w:t>
      </w:r>
    </w:p>
    <w:p>
      <w:r>
        <w:t>朝阳大学校 出版图书：https://www.jiaokey.com/tag/朝阳大学校.html</w:t>
      </w:r>
    </w:p>
    <w:p>
      <w:r>
        <w:t>关键词搜索：https://www.jiaokey.com/tag/中华民国新刑律总则讲义.html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