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满洲亲属继承法之要纲</w:t>
      </w:r>
    </w:p>
    <w:p>
      <w:r>
        <w:rPr>
          <w:rFonts w:ascii="宋体" w:hAnsi="宋体" w:eastAsia="宋体"/>
          <w:sz w:val="24"/>
        </w:rPr>
        <w:t>朱广文，千种达夫著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满洲亲属继承法之要纲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朱广文，千种达夫著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本书出售、求购地址：https://www.jiaokey.com/book/detail/13166346.html</w:t>
      </w:r>
    </w:p>
    <w:p>
      <w:r>
        <w:t>更多相关图书推荐：https://www.jiaokey.com</w:t>
      </w:r>
    </w:p>
    <w:p>
      <w:r>
        <w:t>朱广文，千种达夫著 其他作品：https://www.jiaokey.com/tag/朱广文，千种达夫著.html</w:t>
      </w:r>
    </w:p>
    <w:p>
      <w:r>
        <w:t>满洲有斐阁 出版图书：https://www.jiaokey.com/tag/满洲有斐阁.html</w:t>
      </w:r>
    </w:p>
    <w:p>
      <w:r>
        <w:t>关键词搜索：https://www.jiaokey.com/tag/满洲亲属继承法之要纲.html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