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书名：《文心雕龙》文理研究  以孔子屈原为枢纽轴心的要义</w:t>
      </w:r>
    </w:p>
    <w:p>
      <w:r>
        <w:t>作者：邓国光著</w:t>
      </w:r>
    </w:p>
    <w:p>
      <w:r>
        <w:t>出版社：上海：上海古籍出版社</w:t>
      </w:r>
    </w:p>
    <w:p>
      <w:r>
        <w:t>出版日期：2012.12</w:t>
      </w:r>
    </w:p>
    <w:p>
      <w:r>
        <w:t>总页数：297</w:t>
      </w:r>
    </w:p>
    <w:p>
      <w:r>
        <w:t>更多请访问教客网: www.jiaokey.com</w:t>
      </w:r>
    </w:p>
    <w:p>
      <w:r>
        <w:t>《文心雕龙》文理研究  以孔子屈原为枢纽轴心的要义 评论地址：https://www.jiaokey.com/book/detail/13167366.html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