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基督化的家庭教育</w:t>
      </w:r>
    </w:p>
    <w:p>
      <w:r>
        <w:rPr>
          <w:rFonts w:ascii="宋体" w:hAnsi="宋体" w:eastAsia="宋体"/>
          <w:sz w:val="24"/>
        </w:rPr>
        <w:t>（美）巴狄德水（D.D.Barbour）授旨 蔡咏春述意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基督化的家庭教育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（美）巴狄德水（D.D.Barbour）授旨 蔡咏春述意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本书出售、求购地址：https://www.jiaokey.com/book/detail/13199522.html</w:t>
      </w:r>
    </w:p>
    <w:p>
      <w:r>
        <w:t>更多相关图书推荐：https://www.jiaokey.com</w:t>
      </w:r>
    </w:p>
    <w:p>
      <w:r>
        <w:t>（美）巴狄德水（D.D.Barbour）授旨 蔡咏春述意 其他作品：https://www.jiaokey.com/tag/（美）巴狄德水（D.D.Barbour）授旨 蔡咏春述意.html</w:t>
      </w:r>
    </w:p>
    <w:p>
      <w:r>
        <w:t>广学会 出版图书：https://www.jiaokey.com/tag/广学会.html</w:t>
      </w:r>
    </w:p>
    <w:p>
      <w:r>
        <w:t>关键词搜索：https://www.jiaokey.com/tag/基督化的家庭教育.html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