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碧血丹心大侠传  大明历史武侠小说  4</w:t>
      </w:r>
    </w:p>
    <w:p>
      <w:r>
        <w:rPr>
          <w:rFonts w:ascii="宋体" w:hAnsi="宋体" w:eastAsia="宋体"/>
          <w:sz w:val="24"/>
        </w:rPr>
        <w:t>文公直撰述；秦来甫批眉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碧血丹心大侠传  大明历史武侠小说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文公直撰述；秦来甫批眉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振民编辑社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本书出售、求购地址：https://www.jiaokey.com/book/detail/13252798.html</w:t>
      </w:r>
    </w:p>
    <w:p>
      <w:r>
        <w:t>更多相关图书推荐：https://www.jiaokey.com</w:t>
      </w:r>
    </w:p>
    <w:p>
      <w:r>
        <w:t>文公直撰述；秦来甫批眉 其他作品：https://www.jiaokey.com/tag/文公直撰述；秦来甫批眉.html</w:t>
      </w:r>
    </w:p>
    <w:p>
      <w:r>
        <w:t>振民编辑社 出版图书：https://www.jiaokey.com/tag/振民编辑社.html</w:t>
      </w:r>
    </w:p>
    <w:p>
      <w:r>
        <w:t>关键词搜索：https://www.jiaokey.com/tag/碧血丹心大侠传  大明历史武侠小说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