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南风新现</w:t>
      </w:r>
    </w:p>
    <w:p>
      <w:r>
        <w:rPr>
          <w:rFonts w:ascii="宋体" w:hAnsi="宋体" w:eastAsia="宋体"/>
          <w:sz w:val="24"/>
        </w:rPr>
        <w:t>马来西亚水墨画协会，艺象中心联合主办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南风新现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马来西亚水墨画协会，艺象中心联合主办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马来西亚水墨画协会；艺象中心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本书出售、求购地址：https://www.jiaokey.com/book/detail/13263377.html</w:t>
      </w:r>
    </w:p>
    <w:p>
      <w:r>
        <w:t>更多相关图书推荐：https://www.jiaokey.com</w:t>
      </w:r>
    </w:p>
    <w:p>
      <w:r>
        <w:t>马来西亚水墨画协会，艺象中心联合主办 其他作品：https://www.jiaokey.com/tag/马来西亚水墨画协会，艺象中心联合主办.html</w:t>
      </w:r>
    </w:p>
    <w:p>
      <w:r>
        <w:t>马来西亚水墨画协会；艺象中心 出版图书：https://www.jiaokey.com/tag/马来西亚水墨画协会；艺象中心.html</w:t>
      </w:r>
    </w:p>
    <w:p>
      <w:r>
        <w:t>关键词搜索：https://www.jiaokey.com/tag/南风新现.html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