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</w:t>
      </w:r>
    </w:p>
    <w:p>
      <w:r>
        <w:rPr>
          <w:rFonts w:ascii="宋体" w:hAnsi="宋体" w:eastAsia="宋体"/>
          <w:sz w:val="24"/>
        </w:rPr>
        <w:t>信世昌主编；舒兆民，陈怀萱，林金锡等合著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信世昌主编；舒兆民，陈怀萱，林金锡等合著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本书出售、求购地址：https://www.jiaokey.com/book/detail/13283589.html</w:t>
      </w:r>
    </w:p>
    <w:p>
      <w:r>
        <w:t>更多相关图书推荐：https://www.jiaokey.com</w:t>
      </w:r>
    </w:p>
    <w:p>
      <w:r>
        <w:t>信世昌主编；舒兆民，陈怀萱，林金锡等合著 其他作品：https://www.jiaokey.com/tag/信世昌主编；舒兆民，陈怀萱，林金锡等合著.html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关键词搜索：https://www.jiaokey.com/tag/现代应用文.html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