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中国优秀传统哲学文化资源的当代开发利用问题研究</w:t>
      </w:r>
    </w:p>
    <w:p>
      <w:r>
        <w:rPr>
          <w:rFonts w:ascii="宋体" w:hAnsi="宋体" w:eastAsia="宋体"/>
          <w:sz w:val="24"/>
        </w:rPr>
        <w:t>杨翰卿项目负责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中国优秀传统哲学文化资源的当代开发利用问题研究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杨翰卿项目负责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本书出售、求购地址：https://www.jiaokey.com/book/detail/13285012.html</w:t>
      </w:r>
    </w:p>
    <w:p>
      <w:r>
        <w:t>更多相关图书推荐：https://www.jiaokey.com</w:t>
      </w:r>
    </w:p>
    <w:p>
      <w:r>
        <w:t>杨翰卿项目负责 其他作品：https://www.jiaokey.com/tag/杨翰卿项目负责.html</w:t>
      </w:r>
    </w:p>
    <w:p>
      <w:r>
        <w:t>关键词搜索：https://www.jiaokey.com/tag/中国优秀传统哲学文化资源的当代开发利用问题研究.html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