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优化河南投资环境研究  研究报告</w:t>
      </w:r>
    </w:p>
    <w:p>
      <w:r>
        <w:rPr>
          <w:rFonts w:ascii="宋体" w:hAnsi="宋体" w:eastAsia="宋体"/>
          <w:sz w:val="24"/>
        </w:rPr>
        <w:t>梁瑞华，朱长青项目负责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优化河南投资环境研究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梁瑞华，朱长青项目负责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本书出售、求购地址：https://www.jiaokey.com/book/detail/13285151.html</w:t>
      </w:r>
    </w:p>
    <w:p>
      <w:r>
        <w:t>更多相关图书推荐：https://www.jiaokey.com</w:t>
      </w:r>
    </w:p>
    <w:p>
      <w:r>
        <w:t>梁瑞华，朱长青项目负责 其他作品：https://www.jiaokey.com/tag/梁瑞华，朱长青项目负责.html</w:t>
      </w:r>
    </w:p>
    <w:p>
      <w:r>
        <w:t>关键词搜索：https://www.jiaokey.com/tag/优化河南投资环境研究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