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河南省城市精神文明建设机制研究</w:t>
      </w:r>
    </w:p>
    <w:p>
      <w:r>
        <w:rPr>
          <w:rFonts w:ascii="宋体" w:hAnsi="宋体" w:eastAsia="宋体"/>
          <w:sz w:val="24"/>
        </w:rPr>
        <w:t>王玲玲，董清民负责人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河南省城市精神文明建设机制研究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王玲玲，董清民负责人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中共郑州市委党校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本书出售、求购地址：https://www.jiaokey.com/book/detail/13285286.html</w:t>
      </w:r>
    </w:p>
    <w:p>
      <w:r>
        <w:t>更多相关图书推荐：https://www.jiaokey.com</w:t>
      </w:r>
    </w:p>
    <w:p>
      <w:r>
        <w:t>王玲玲，董清民负责人 其他作品：https://www.jiaokey.com/tag/王玲玲，董清民负责人.html</w:t>
      </w:r>
    </w:p>
    <w:p>
      <w:r>
        <w:t>中共郑州市委党校 出版图书：https://www.jiaokey.com/tag/中共郑州市委党校.html</w:t>
      </w:r>
    </w:p>
    <w:p>
      <w:r>
        <w:t>关键词搜索：https://www.jiaokey.com/tag/河南省城市精神文明建设机制研究.html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