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河南省企业养老保险基金的收支问题及对策研究</w:t>
      </w:r>
    </w:p>
    <w:p>
      <w:r>
        <w:rPr>
          <w:rFonts w:ascii="宋体" w:hAnsi="宋体" w:eastAsia="宋体"/>
          <w:sz w:val="24"/>
        </w:rPr>
        <w:t>乔文炳课题负责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河南省企业养老保险基金的收支问题及对策研究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乔文炳课题负责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郑州市委党校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本书出售、求购地址：https://www.jiaokey.com/book/detail/13285385.html</w:t>
      </w:r>
    </w:p>
    <w:p>
      <w:r>
        <w:t>更多相关图书推荐：https://www.jiaokey.com</w:t>
      </w:r>
    </w:p>
    <w:p>
      <w:r>
        <w:t>乔文炳课题负责 其他作品：https://www.jiaokey.com/tag/乔文炳课题负责.html</w:t>
      </w:r>
    </w:p>
    <w:p>
      <w:r>
        <w:t>郑州市委党校 出版图书：https://www.jiaokey.com/tag/郑州市委党校.html</w:t>
      </w:r>
    </w:p>
    <w:p>
      <w:r>
        <w:t>关键词搜索：https://www.jiaokey.com/tag/河南省企业养老保险基金的收支问题及对策研究.html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