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我省工业产权保护中存在的问题及对策</w:t>
      </w:r>
    </w:p>
    <w:p>
      <w:r>
        <w:rPr>
          <w:rFonts w:ascii="宋体" w:hAnsi="宋体" w:eastAsia="宋体"/>
          <w:sz w:val="24"/>
        </w:rPr>
        <w:t>河南财经学院课题组课题负责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我省工业产权保护中存在的问题及对策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河南财经学院课题组课题负责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本书出售、求购地址：https://www.jiaokey.com/book/detail/13285449.html</w:t>
      </w:r>
    </w:p>
    <w:p>
      <w:r>
        <w:t>更多相关图书推荐：https://www.jiaokey.com</w:t>
      </w:r>
    </w:p>
    <w:p>
      <w:r>
        <w:t>河南财经学院课题组课题负责 其他作品：https://www.jiaokey.com/tag/河南财经学院课题组课题负责.html</w:t>
      </w:r>
    </w:p>
    <w:p>
      <w:r>
        <w:t>河南财经学院课题组 出版图书：https://www.jiaokey.com/tag/河南财经学院课题组.html</w:t>
      </w:r>
    </w:p>
    <w:p>
      <w:r>
        <w:t>关键词搜索：https://www.jiaokey.com/tag/我省工业产权保护中存在的问题及对策.html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