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书名：农村税费改革后义务教育投入的保障机制研究</w:t>
      </w:r>
    </w:p>
    <w:p>
      <w:r>
        <w:t>作者：张素琴项目负责</w:t>
      </w:r>
    </w:p>
    <w:p>
      <w:r>
        <w:t>出版社：郑州航空工业管理学院</w:t>
      </w:r>
    </w:p>
    <w:p>
      <w:r>
        <w:t>出版日期：2005.06</w:t>
      </w:r>
    </w:p>
    <w:p>
      <w:r>
        <w:t>总页数：44</w:t>
      </w:r>
    </w:p>
    <w:p>
      <w:r>
        <w:t>更多请访问教客网: www.jiaokey.com</w:t>
      </w:r>
    </w:p>
    <w:p>
      <w:r>
        <w:t>农村税费改革后义务教育投入的保障机制研究 评论地址：https://www.jiaokey.com/book/detail/13285553.html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