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通讯传播法  数位汇流、管制革新与法治国家</w:t>
      </w:r>
    </w:p>
    <w:p>
      <w:r>
        <w:rPr>
          <w:rFonts w:ascii="宋体" w:hAnsi="宋体" w:eastAsia="宋体"/>
          <w:sz w:val="24"/>
        </w:rPr>
        <w:t>刘孔中著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通讯传播法  数位汇流、管制革新与法治国家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刘孔中著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台湾本土法学杂志有限公司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本书出售、求购地址：https://www.jiaokey.com/book/detail/13287429.html</w:t>
      </w:r>
    </w:p>
    <w:p>
      <w:r>
        <w:t>更多相关图书推荐：https://www.jiaokey.com</w:t>
      </w:r>
    </w:p>
    <w:p>
      <w:r>
        <w:t>刘孔中著 其他作品：https://www.jiaokey.com/tag/刘孔中著.html</w:t>
      </w:r>
    </w:p>
    <w:p>
      <w:r>
        <w:t>台湾本土法学杂志有限公司 出版图书：https://www.jiaokey.com/tag/台湾本土法学杂志有限公司.html</w:t>
      </w:r>
    </w:p>
    <w:p>
      <w:r>
        <w:t>关键词搜索：https://www.jiaokey.com/tag/通讯传播法  数位汇流、管制革新与法治国家.html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